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E3" w:rsidRDefault="00F73CE3">
      <w:pPr>
        <w:pStyle w:val="normal0"/>
        <w:pBdr>
          <w:bottom w:val="single" w:sz="6" w:space="1" w:color="000001"/>
        </w:pBdr>
        <w:jc w:val="center"/>
        <w:rPr>
          <w:rFonts w:ascii="Times New Roman" w:hAnsi="Times New Roman" w:cs="Times New Roman"/>
          <w:b/>
          <w:smallCaps/>
          <w:color w:val="000000"/>
          <w:sz w:val="20"/>
          <w:szCs w:val="20"/>
        </w:rPr>
      </w:pPr>
      <w:r>
        <w:rPr>
          <w:rFonts w:ascii="Times New Roman" w:hAnsi="Times New Roman" w:cs="Times New Roman"/>
          <w:b/>
          <w:smallCaps/>
          <w:color w:val="000000"/>
          <w:sz w:val="20"/>
          <w:szCs w:val="20"/>
        </w:rPr>
        <w:t>INFORMACIÓN PÚBLICA SOBRE EL PROYECTO DE REAL DECRETO DE MODIFICACIÓN  DE ANEXOS I Y II DE LA LEY 21/2013, DE 9 DE DICIEMBRE, DE EVALUACION AMBIENTAL</w:t>
      </w:r>
    </w:p>
    <w:p w:rsidR="00F73CE3" w:rsidRDefault="00F73CE3">
      <w:pPr>
        <w:pStyle w:val="normal0"/>
        <w:rPr>
          <w:rFonts w:ascii="Times New Roman" w:hAnsi="Times New Roman" w:cs="Times New Roman"/>
          <w:b/>
          <w:sz w:val="20"/>
          <w:szCs w:val="20"/>
        </w:rPr>
      </w:pPr>
    </w:p>
    <w:tbl>
      <w:tblPr>
        <w:tblW w:w="139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2247"/>
        <w:gridCol w:w="1682"/>
        <w:gridCol w:w="3921"/>
        <w:gridCol w:w="3345"/>
        <w:gridCol w:w="2799"/>
      </w:tblGrid>
      <w:tr w:rsidR="00F73CE3" w:rsidTr="002363EA">
        <w:trPr>
          <w:jc w:val="center"/>
        </w:trPr>
        <w:tc>
          <w:tcPr>
            <w:tcW w:w="2247" w:type="dxa"/>
            <w:shd w:val="clear" w:color="auto" w:fill="FFFFCC"/>
            <w:vAlign w:val="center"/>
          </w:tcPr>
          <w:p w:rsidR="00F73CE3" w:rsidRPr="002363EA" w:rsidRDefault="00F73CE3" w:rsidP="002363EA">
            <w:pPr>
              <w:pStyle w:val="normal0"/>
              <w:jc w:val="center"/>
              <w:rPr>
                <w:rFonts w:ascii="Times New Roman" w:hAnsi="Times New Roman" w:cs="Times New Roman"/>
                <w:b/>
                <w:sz w:val="20"/>
                <w:szCs w:val="20"/>
              </w:rPr>
            </w:pPr>
            <w:r w:rsidRPr="002363EA">
              <w:rPr>
                <w:rFonts w:ascii="Times New Roman" w:hAnsi="Times New Roman" w:cs="Times New Roman"/>
                <w:b/>
                <w:sz w:val="20"/>
                <w:szCs w:val="20"/>
              </w:rPr>
              <w:t>Autor</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Nombre, dirección, teléfono de contacto, e-mail</w:t>
            </w:r>
          </w:p>
        </w:tc>
        <w:tc>
          <w:tcPr>
            <w:tcW w:w="1682" w:type="dxa"/>
            <w:shd w:val="clear" w:color="auto" w:fill="FFFFCC"/>
            <w:vAlign w:val="center"/>
          </w:tcPr>
          <w:p w:rsidR="00F73CE3" w:rsidRPr="002363EA" w:rsidRDefault="00F73CE3" w:rsidP="002363EA">
            <w:pPr>
              <w:pStyle w:val="normal0"/>
              <w:jc w:val="center"/>
              <w:rPr>
                <w:rFonts w:ascii="Times New Roman" w:hAnsi="Times New Roman" w:cs="Times New Roman"/>
                <w:sz w:val="20"/>
                <w:szCs w:val="20"/>
              </w:rPr>
            </w:pPr>
            <w:bookmarkStart w:id="0" w:name="_gjdgxs" w:colFirst="0" w:colLast="0"/>
            <w:bookmarkEnd w:id="0"/>
            <w:r w:rsidRPr="002363EA">
              <w:rPr>
                <w:rFonts w:ascii="Times New Roman" w:hAnsi="Times New Roman" w:cs="Times New Roman"/>
                <w:b/>
                <w:sz w:val="20"/>
                <w:szCs w:val="20"/>
              </w:rPr>
              <w:t>Anexo/Epígrafe</w:t>
            </w:r>
          </w:p>
        </w:tc>
        <w:tc>
          <w:tcPr>
            <w:tcW w:w="3921" w:type="dxa"/>
            <w:shd w:val="clear" w:color="auto" w:fill="FFFFCC"/>
            <w:vAlign w:val="center"/>
          </w:tcPr>
          <w:p w:rsidR="00F73CE3" w:rsidRPr="002363EA" w:rsidRDefault="00F73CE3" w:rsidP="002363EA">
            <w:pPr>
              <w:pStyle w:val="normal0"/>
              <w:jc w:val="center"/>
              <w:rPr>
                <w:rFonts w:ascii="Times New Roman" w:hAnsi="Times New Roman" w:cs="Times New Roman"/>
                <w:b/>
                <w:sz w:val="20"/>
                <w:szCs w:val="20"/>
              </w:rPr>
            </w:pPr>
            <w:r w:rsidRPr="002363EA">
              <w:rPr>
                <w:rFonts w:ascii="Times New Roman" w:hAnsi="Times New Roman" w:cs="Times New Roman"/>
                <w:b/>
                <w:sz w:val="20"/>
                <w:szCs w:val="20"/>
              </w:rPr>
              <w:t>Motivación</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w:t>
            </w:r>
          </w:p>
        </w:tc>
        <w:tc>
          <w:tcPr>
            <w:tcW w:w="3345" w:type="dxa"/>
            <w:shd w:val="clear" w:color="auto" w:fill="FFFFCC"/>
            <w:vAlign w:val="center"/>
          </w:tcPr>
          <w:p w:rsidR="00F73CE3" w:rsidRPr="002363EA" w:rsidRDefault="00F73CE3" w:rsidP="002363EA">
            <w:pPr>
              <w:pStyle w:val="normal0"/>
              <w:jc w:val="center"/>
              <w:rPr>
                <w:rFonts w:ascii="Times New Roman" w:hAnsi="Times New Roman" w:cs="Times New Roman"/>
                <w:b/>
                <w:sz w:val="20"/>
                <w:szCs w:val="20"/>
              </w:rPr>
            </w:pPr>
            <w:r w:rsidRPr="002363EA">
              <w:rPr>
                <w:rFonts w:ascii="Times New Roman" w:hAnsi="Times New Roman" w:cs="Times New Roman"/>
                <w:b/>
                <w:sz w:val="20"/>
                <w:szCs w:val="20"/>
              </w:rPr>
              <w:t>Propuesta alternativa</w:t>
            </w:r>
          </w:p>
        </w:tc>
        <w:tc>
          <w:tcPr>
            <w:tcW w:w="2799" w:type="dxa"/>
            <w:shd w:val="clear" w:color="auto" w:fill="D9E2F3"/>
            <w:vAlign w:val="center"/>
          </w:tcPr>
          <w:p w:rsidR="00F73CE3" w:rsidRPr="002363EA" w:rsidRDefault="00F73CE3" w:rsidP="002363EA">
            <w:pPr>
              <w:pStyle w:val="normal0"/>
              <w:jc w:val="center"/>
              <w:rPr>
                <w:rFonts w:ascii="Times New Roman" w:hAnsi="Times New Roman" w:cs="Times New Roman"/>
                <w:b/>
                <w:sz w:val="20"/>
                <w:szCs w:val="20"/>
              </w:rPr>
            </w:pPr>
            <w:r w:rsidRPr="002363EA">
              <w:rPr>
                <w:rFonts w:ascii="Times New Roman" w:hAnsi="Times New Roman" w:cs="Times New Roman"/>
                <w:b/>
                <w:sz w:val="20"/>
                <w:szCs w:val="20"/>
              </w:rPr>
              <w:t>Valoración</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 cumplimentar por la Administración)</w:t>
            </w:r>
          </w:p>
        </w:tc>
      </w:tr>
      <w:tr w:rsidR="00F73CE3" w:rsidTr="002363EA">
        <w:trPr>
          <w:trHeight w:val="1525"/>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ALIENTE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Alianza Energía y Territorio.</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Aliente.org</w:t>
            </w: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9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a)</w:t>
            </w:r>
          </w:p>
        </w:tc>
        <w:tc>
          <w:tcPr>
            <w:tcW w:w="3921" w:type="dxa"/>
            <w:shd w:val="clear" w:color="auto" w:fill="FFFFCC"/>
          </w:tcPr>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r w:rsidRPr="002363EA">
              <w:rPr>
                <w:rFonts w:ascii="Times New Roman" w:hAnsi="Times New Roman" w:cs="Times New Roman"/>
                <w:b/>
                <w:sz w:val="20"/>
                <w:szCs w:val="20"/>
              </w:rPr>
              <w:t xml:space="preserve">1.- Las zonas tampón de las Reservas de la Biosfera </w:t>
            </w:r>
            <w:r w:rsidRPr="002363EA">
              <w:rPr>
                <w:rFonts w:ascii="Times New Roman" w:hAnsi="Times New Roman" w:cs="Times New Roman"/>
                <w:sz w:val="20"/>
                <w:szCs w:val="20"/>
              </w:rPr>
              <w:t>quedan excluidas de la evaluación ambiental ordinaria, para pasar a una simplificada</w:t>
            </w:r>
            <w:r w:rsidRPr="002363EA">
              <w:rPr>
                <w:rFonts w:ascii="Times New Roman" w:hAnsi="Times New Roman" w:cs="Times New Roman"/>
                <w:sz w:val="20"/>
                <w:szCs w:val="20"/>
                <w:u w:val="single"/>
              </w:rPr>
              <w:t>.</w:t>
            </w:r>
          </w:p>
        </w:tc>
        <w:tc>
          <w:tcPr>
            <w:tcW w:w="3345" w:type="dxa"/>
            <w:shd w:val="clear" w:color="auto" w:fill="FFFFCC"/>
          </w:tcPr>
          <w:p w:rsidR="00F73CE3" w:rsidRPr="002363EA" w:rsidRDefault="00F73CE3">
            <w:pPr>
              <w:pStyle w:val="normal0"/>
              <w:rPr>
                <w:rFonts w:ascii="Times New Roman" w:hAnsi="Times New Roman" w:cs="Times New Roman"/>
                <w:b/>
                <w:sz w:val="20"/>
                <w:szCs w:val="20"/>
              </w:rPr>
            </w:pPr>
          </w:p>
          <w:p w:rsidR="00F73CE3" w:rsidRPr="002363EA" w:rsidRDefault="00F73CE3">
            <w:pPr>
              <w:pStyle w:val="normal0"/>
              <w:rPr>
                <w:rFonts w:ascii="Times New Roman" w:hAnsi="Times New Roman" w:cs="Times New Roman"/>
                <w:sz w:val="20"/>
                <w:szCs w:val="20"/>
              </w:rPr>
            </w:pPr>
            <w:r w:rsidRPr="002363EA">
              <w:rPr>
                <w:rFonts w:ascii="Times New Roman" w:hAnsi="Times New Roman" w:cs="Times New Roman"/>
                <w:b/>
                <w:sz w:val="20"/>
                <w:szCs w:val="20"/>
              </w:rPr>
              <w:t>Mantener en Evaluación Ambiental Ordinaria</w:t>
            </w:r>
            <w:r w:rsidRPr="002363EA">
              <w:rPr>
                <w:rFonts w:ascii="Times New Roman" w:hAnsi="Times New Roman" w:cs="Times New Roman"/>
                <w:sz w:val="20"/>
                <w:szCs w:val="20"/>
              </w:rPr>
              <w:t>, para todos los espacios de las Reservas de la Biosfera y no sólo las zonas tampón,</w:t>
            </w: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3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i)</w:t>
            </w:r>
          </w:p>
        </w:tc>
        <w:tc>
          <w:tcPr>
            <w:tcW w:w="3921" w:type="dxa"/>
            <w:shd w:val="clear" w:color="auto" w:fill="FFFFCC"/>
          </w:tcPr>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r w:rsidRPr="002363EA">
              <w:rPr>
                <w:rFonts w:ascii="Times New Roman" w:hAnsi="Times New Roman" w:cs="Times New Roman"/>
                <w:b/>
                <w:sz w:val="20"/>
                <w:szCs w:val="20"/>
              </w:rPr>
              <w:t>2.- Los Estudios para la Declaración de Impacto Ambiental</w:t>
            </w:r>
            <w:r w:rsidRPr="002363EA">
              <w:rPr>
                <w:rFonts w:ascii="Times New Roman" w:hAnsi="Times New Roman" w:cs="Times New Roman"/>
                <w:sz w:val="20"/>
                <w:szCs w:val="20"/>
              </w:rPr>
              <w:t xml:space="preserve"> debe ser objetiva  y su valoración ha de cumplir con el principio de independencia respecto del promotor de la actuación.</w:t>
            </w:r>
          </w:p>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p>
        </w:tc>
        <w:tc>
          <w:tcPr>
            <w:tcW w:w="3345" w:type="dxa"/>
            <w:shd w:val="clear" w:color="auto" w:fill="FFFFCC"/>
          </w:tcPr>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r w:rsidRPr="002363EA">
              <w:rPr>
                <w:rFonts w:ascii="Times New Roman" w:hAnsi="Times New Roman" w:cs="Times New Roman"/>
                <w:sz w:val="20"/>
                <w:szCs w:val="20"/>
              </w:rPr>
              <w:t xml:space="preserve">Que los estudios de impacto ambiental, para ser reales, </w:t>
            </w:r>
            <w:r w:rsidRPr="002363EA">
              <w:rPr>
                <w:rFonts w:ascii="Times New Roman" w:hAnsi="Times New Roman" w:cs="Times New Roman"/>
                <w:b/>
                <w:sz w:val="20"/>
                <w:szCs w:val="20"/>
              </w:rPr>
              <w:t>los debería realizar una empresa o administración ajena a las empresas promotoras.</w:t>
            </w: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ind w:left="720"/>
              <w:rPr>
                <w:rFonts w:ascii="Times New Roman" w:hAnsi="Times New Roman" w:cs="Times New Roman"/>
                <w:color w:val="000000"/>
                <w:sz w:val="20"/>
                <w:szCs w:val="20"/>
              </w:rPr>
            </w:pPr>
          </w:p>
          <w:p w:rsidR="00F73CE3" w:rsidRPr="002363EA" w:rsidRDefault="00F73CE3" w:rsidP="002363EA">
            <w:pPr>
              <w:pStyle w:val="normal0"/>
              <w:ind w:left="720"/>
              <w:rPr>
                <w:rFonts w:ascii="Times New Roman" w:hAnsi="Times New Roman" w:cs="Times New Roman"/>
                <w:color w:val="000000"/>
                <w:sz w:val="20"/>
                <w:szCs w:val="20"/>
              </w:rPr>
            </w:pPr>
            <w:r w:rsidRPr="002363EA">
              <w:rPr>
                <w:rFonts w:ascii="Times New Roman" w:hAnsi="Times New Roman" w:cs="Times New Roman"/>
                <w:b/>
                <w:color w:val="000000"/>
                <w:sz w:val="20"/>
                <w:szCs w:val="20"/>
              </w:rPr>
              <w:t>3.-</w:t>
            </w:r>
            <w:r w:rsidRPr="002363EA">
              <w:rPr>
                <w:rFonts w:ascii="Times New Roman" w:hAnsi="Times New Roman" w:cs="Times New Roman"/>
                <w:color w:val="000000"/>
                <w:sz w:val="20"/>
                <w:szCs w:val="20"/>
              </w:rPr>
              <w:t xml:space="preserve"> Como reza en la exposición de motivos este Real Decreto, </w:t>
            </w:r>
            <w:r w:rsidRPr="002363EA">
              <w:rPr>
                <w:rFonts w:ascii="Times New Roman" w:hAnsi="Times New Roman" w:cs="Times New Roman"/>
                <w:b/>
                <w:color w:val="000000"/>
                <w:sz w:val="20"/>
                <w:szCs w:val="20"/>
              </w:rPr>
              <w:t>“con el fin de adaptarlos a la normativa vigente, a la evolución científica y técnica, y a lo que dispongan las normas internacionales y el Derecho de la Unión Europea“</w:t>
            </w:r>
            <w:r w:rsidRPr="002363EA">
              <w:rPr>
                <w:rFonts w:ascii="Times New Roman" w:hAnsi="Times New Roman" w:cs="Times New Roman"/>
                <w:color w:val="000000"/>
                <w:sz w:val="20"/>
                <w:szCs w:val="20"/>
              </w:rPr>
              <w:t xml:space="preserve"> y atendiendo a los principios de buena regulación establecidos en el artículo 129 de la Ley 39/2015, de 1 de octubre, del Procedimiento Administrativo Común de las Administraciones Públicas y en particular, a los principios de necesidad y eficacia.</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normal0"/>
              <w:ind w:left="720"/>
              <w:rPr>
                <w:rFonts w:ascii="Times New Roman" w:hAnsi="Times New Roman" w:cs="Times New Roman"/>
                <w:color w:val="000000"/>
                <w:sz w:val="20"/>
                <w:szCs w:val="20"/>
              </w:rPr>
            </w:pPr>
          </w:p>
          <w:p w:rsidR="00F73CE3" w:rsidRPr="002363EA" w:rsidRDefault="00F73CE3" w:rsidP="002363EA">
            <w:pPr>
              <w:pStyle w:val="normal0"/>
              <w:ind w:left="720"/>
              <w:rPr>
                <w:rFonts w:ascii="Times New Roman" w:hAnsi="Times New Roman" w:cs="Times New Roman"/>
                <w:color w:val="000000"/>
                <w:sz w:val="20"/>
                <w:szCs w:val="20"/>
              </w:rPr>
            </w:pPr>
            <w:r w:rsidRPr="002363EA">
              <w:rPr>
                <w:rFonts w:ascii="Times New Roman" w:hAnsi="Times New Roman" w:cs="Times New Roman"/>
                <w:color w:val="000000"/>
                <w:sz w:val="20"/>
                <w:szCs w:val="20"/>
              </w:rPr>
              <w:t xml:space="preserve">Resulta </w:t>
            </w:r>
            <w:r w:rsidRPr="002363EA">
              <w:rPr>
                <w:rFonts w:ascii="Times New Roman" w:hAnsi="Times New Roman" w:cs="Times New Roman"/>
                <w:b/>
                <w:color w:val="000000"/>
                <w:sz w:val="20"/>
                <w:szCs w:val="20"/>
              </w:rPr>
              <w:t>obligado un procedimiento de evaluación ambiental ordinario respecto de cualquier proyecto en suelo rústico</w:t>
            </w:r>
            <w:r w:rsidRPr="002363EA">
              <w:rPr>
                <w:rFonts w:ascii="Times New Roman" w:hAnsi="Times New Roman" w:cs="Times New Roman"/>
                <w:color w:val="000000"/>
                <w:sz w:val="20"/>
                <w:szCs w:val="20"/>
              </w:rPr>
              <w:t xml:space="preserve"> para cumplir con la necesaria armonización de la normativa del suelo con los criterios que marca para usos excepcionales autorizables, entre ellos, el “utilización racional de los recursos naturales”.*</w:t>
            </w: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 xml:space="preserve">4.- </w:t>
            </w:r>
            <w:r w:rsidRPr="002363EA">
              <w:rPr>
                <w:rFonts w:ascii="Times New Roman" w:hAnsi="Times New Roman" w:cs="Times New Roman"/>
                <w:color w:val="000000"/>
                <w:sz w:val="20"/>
                <w:szCs w:val="20"/>
              </w:rPr>
              <w:t xml:space="preserve">De la misma manera, </w:t>
            </w:r>
            <w:r w:rsidRPr="002363EA">
              <w:rPr>
                <w:rFonts w:ascii="Times New Roman" w:hAnsi="Times New Roman" w:cs="Times New Roman"/>
                <w:b/>
                <w:color w:val="000000"/>
                <w:sz w:val="20"/>
                <w:szCs w:val="20"/>
              </w:rPr>
              <w:t>para cumplir con criterios científicos y técnicos que aseguren la evaluación ambiental</w:t>
            </w:r>
            <w:r w:rsidRPr="002363EA">
              <w:rPr>
                <w:rFonts w:ascii="Times New Roman" w:hAnsi="Times New Roman" w:cs="Times New Roman"/>
                <w:color w:val="000000"/>
                <w:sz w:val="20"/>
                <w:szCs w:val="20"/>
              </w:rPr>
              <w:t xml:space="preserve"> que prevé nuestro ordenamiento, es exigible igualmente:</w:t>
            </w:r>
          </w:p>
        </w:tc>
        <w:tc>
          <w:tcPr>
            <w:tcW w:w="3345"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 xml:space="preserve">Exigible igualmente </w:t>
            </w:r>
            <w:r w:rsidRPr="002363EA">
              <w:rPr>
                <w:rFonts w:ascii="Times New Roman" w:hAnsi="Times New Roman" w:cs="Times New Roman"/>
                <w:b/>
                <w:color w:val="000000"/>
                <w:sz w:val="20"/>
                <w:szCs w:val="20"/>
              </w:rPr>
              <w:t>que el Estudio de Impacto Ambiental se fundamente en datos de muestreo durante todo el ciclo anual de forma que sean representativos de la variabilidad</w:t>
            </w:r>
            <w:r w:rsidRPr="002363EA">
              <w:rPr>
                <w:rFonts w:ascii="Times New Roman" w:hAnsi="Times New Roman" w:cs="Times New Roman"/>
                <w:color w:val="000000"/>
                <w:sz w:val="20"/>
                <w:szCs w:val="20"/>
              </w:rPr>
              <w:t xml:space="preserve"> de un </w:t>
            </w:r>
            <w:r w:rsidRPr="002363EA">
              <w:rPr>
                <w:rFonts w:ascii="Times New Roman" w:hAnsi="Times New Roman" w:cs="Times New Roman"/>
                <w:b/>
                <w:color w:val="000000"/>
                <w:sz w:val="20"/>
                <w:szCs w:val="20"/>
              </w:rPr>
              <w:t>ciclo anual</w:t>
            </w:r>
            <w:r w:rsidRPr="002363EA">
              <w:rPr>
                <w:rFonts w:ascii="Times New Roman" w:hAnsi="Times New Roman" w:cs="Times New Roman"/>
                <w:color w:val="000000"/>
                <w:sz w:val="20"/>
                <w:szCs w:val="20"/>
              </w:rPr>
              <w:t xml:space="preserve"> y se puedan extraer conclusiones válidas sobre los impactos a lo largo de todo año. De la misma manera es exigible que los indicadores de muestreo de la flora, de la fauna, de la hidrología, de la acústica, de la geología, etc., sean suficientemente </w:t>
            </w:r>
            <w:r w:rsidRPr="002363EA">
              <w:rPr>
                <w:rFonts w:ascii="Times New Roman" w:hAnsi="Times New Roman" w:cs="Times New Roman"/>
                <w:b/>
                <w:color w:val="000000"/>
                <w:sz w:val="20"/>
                <w:szCs w:val="20"/>
              </w:rPr>
              <w:t>representativos del conjunto de casuísticas e impactos</w:t>
            </w:r>
            <w:r w:rsidRPr="002363EA">
              <w:rPr>
                <w:rFonts w:ascii="Times New Roman" w:hAnsi="Times New Roman" w:cs="Times New Roman"/>
                <w:color w:val="000000"/>
                <w:sz w:val="20"/>
                <w:szCs w:val="20"/>
              </w:rPr>
              <w:t xml:space="preserve"> que se pueden dar teniendo en cuenta además de forma científica el efecto acumulado y sinérgico de todas las afecciones y el efecto en cascada sobre el clima, a lo largo del ciclo anual</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5.-</w:t>
            </w:r>
            <w:r w:rsidRPr="002363EA">
              <w:rPr>
                <w:rFonts w:ascii="Times New Roman" w:hAnsi="Times New Roman" w:cs="Times New Roman"/>
                <w:color w:val="000000"/>
                <w:sz w:val="20"/>
                <w:szCs w:val="20"/>
              </w:rPr>
              <w:t xml:space="preserve"> Siguiendo nuevamente la exposición de motivos de este RD, “Dentro de las </w:t>
            </w:r>
            <w:r w:rsidRPr="002363EA">
              <w:rPr>
                <w:rFonts w:ascii="Times New Roman" w:hAnsi="Times New Roman" w:cs="Times New Roman"/>
                <w:b/>
                <w:color w:val="000000"/>
                <w:sz w:val="20"/>
                <w:szCs w:val="20"/>
              </w:rPr>
              <w:t>características de los proyectos, se debe prestar especial atención al tamaño del mismo,</w:t>
            </w:r>
            <w:r w:rsidRPr="002363EA">
              <w:rPr>
                <w:rFonts w:ascii="Times New Roman" w:hAnsi="Times New Roman" w:cs="Times New Roman"/>
                <w:color w:val="000000"/>
                <w:sz w:val="20"/>
                <w:szCs w:val="20"/>
              </w:rPr>
              <w:t xml:space="preserve"> la acumulación con otros proyectos, la utilización de recursos naturales, la generación de residuos, las emisiones y el riesgo de accidentes, entre otros, considerando en particular las sustancias y las tecnologías utilizadas”</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 xml:space="preserve">En este apartado </w:t>
            </w:r>
            <w:r w:rsidRPr="002363EA">
              <w:rPr>
                <w:rFonts w:ascii="Times New Roman" w:hAnsi="Times New Roman" w:cs="Times New Roman"/>
                <w:b/>
                <w:color w:val="000000"/>
                <w:sz w:val="20"/>
                <w:szCs w:val="20"/>
              </w:rPr>
              <w:t>no se tiene suficientemente en cuenta en el presente RD</w:t>
            </w:r>
            <w:r w:rsidRPr="002363EA">
              <w:rPr>
                <w:rFonts w:ascii="Times New Roman" w:hAnsi="Times New Roman" w:cs="Times New Roman"/>
                <w:color w:val="000000"/>
                <w:sz w:val="20"/>
                <w:szCs w:val="20"/>
              </w:rPr>
              <w:t xml:space="preserve"> el trasladar estas garantías a la evaluación ambiental para abordar los problemas de economía circular, actualmente no resueltos, en el caso de los aprovechamientos de energías renovables a gran escala, especialmente las actuales previsiones de residuos de palas provenientes de aerogeneradores que no son reciclables al presente y van a acabar en “vertederos”.**sobre solares**</w:t>
            </w:r>
          </w:p>
          <w:p w:rsidR="00F73CE3" w:rsidRPr="002363EA" w:rsidRDefault="00F73CE3" w:rsidP="002363EA">
            <w:pPr>
              <w:pStyle w:val="normal0"/>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 xml:space="preserve">6.- </w:t>
            </w:r>
            <w:r w:rsidRPr="002363EA">
              <w:rPr>
                <w:rFonts w:ascii="Times New Roman" w:hAnsi="Times New Roman" w:cs="Times New Roman"/>
                <w:color w:val="000000"/>
                <w:sz w:val="20"/>
                <w:szCs w:val="20"/>
              </w:rPr>
              <w:t xml:space="preserve">Para que este real decreto cumpla realmente “con el </w:t>
            </w:r>
            <w:r w:rsidRPr="002363EA">
              <w:rPr>
                <w:rFonts w:ascii="Times New Roman" w:hAnsi="Times New Roman" w:cs="Times New Roman"/>
                <w:b/>
                <w:color w:val="000000"/>
                <w:sz w:val="20"/>
                <w:szCs w:val="20"/>
              </w:rPr>
              <w:t>principio de proporcionalidad y seguridad jurídica”</w:t>
            </w:r>
            <w:r w:rsidRPr="002363EA">
              <w:rPr>
                <w:rFonts w:ascii="Times New Roman" w:hAnsi="Times New Roman" w:cs="Times New Roman"/>
                <w:color w:val="000000"/>
                <w:sz w:val="20"/>
                <w:szCs w:val="20"/>
              </w:rPr>
              <w:t xml:space="preserve"> :</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normal0"/>
              <w:rPr>
                <w:rFonts w:ascii="Times New Roman" w:hAnsi="Times New Roman" w:cs="Times New Roman"/>
                <w:b/>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Se deberían establecer más garantías respecto al procedimiento de evaluación ambiental,</w:t>
            </w:r>
            <w:r w:rsidRPr="002363EA">
              <w:rPr>
                <w:rFonts w:ascii="Times New Roman" w:hAnsi="Times New Roman" w:cs="Times New Roman"/>
                <w:color w:val="000000"/>
                <w:sz w:val="20"/>
                <w:szCs w:val="20"/>
              </w:rPr>
              <w:t xml:space="preserve"> especialmente asegurar que las CCAA preverán adecuadamente estos usos del suelo ejerciendo sus competencias y responsabilidad en el ordenamiento territorial de forma que se tenga en cuenta y se desarrollen las líneas rojas de zonificación de especial sensibilidad y suspender los procedimientos de declaración Ambiental en tanto no se lleva a cabo esta regulación del suelo según las competencias de CCAA y municipio, y a través de una mayor información pública y participación ciudadana. </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 xml:space="preserve">7.- </w:t>
            </w:r>
            <w:r w:rsidRPr="002363EA">
              <w:rPr>
                <w:rFonts w:ascii="Times New Roman" w:hAnsi="Times New Roman" w:cs="Times New Roman"/>
                <w:color w:val="000000"/>
                <w:sz w:val="20"/>
                <w:szCs w:val="20"/>
              </w:rPr>
              <w:t>* Artículo 13 (</w:t>
            </w:r>
            <w:r w:rsidRPr="002363EA">
              <w:rPr>
                <w:rFonts w:ascii="Times New Roman" w:hAnsi="Times New Roman" w:cs="Times New Roman"/>
                <w:b/>
                <w:color w:val="000000"/>
                <w:sz w:val="20"/>
                <w:szCs w:val="20"/>
              </w:rPr>
              <w:t>Utilización del suelo rural)</w:t>
            </w:r>
            <w:r w:rsidRPr="002363EA">
              <w:rPr>
                <w:rFonts w:ascii="Times New Roman" w:hAnsi="Times New Roman" w:cs="Times New Roman"/>
                <w:color w:val="000000"/>
                <w:sz w:val="20"/>
                <w:szCs w:val="20"/>
              </w:rPr>
              <w:t xml:space="preserve"> de la Ley estatal 8/2007, de 28 de mayo, de Suelo: 1. Los terrenos que se encuentren en el suelo rural se utilizarán de conformidad con su naturaleza, debiendo dedicarse, dentro de los límites que dispongan las leyes y la ordenación territorial y urbanística, al uso agrícola, ganadero, forestal, cinegético o cualquier otro vinculado a la utilización racional de los recursos naturales.</w:t>
            </w:r>
          </w:p>
          <w:p w:rsidR="00F73CE3" w:rsidRPr="002363EA" w:rsidRDefault="00F73CE3" w:rsidP="002363EA">
            <w:pPr>
              <w:pStyle w:val="normal0"/>
              <w:ind w:firstLine="360"/>
              <w:rPr>
                <w:rFonts w:ascii="Times New Roman" w:hAnsi="Times New Roman" w:cs="Times New Roman"/>
                <w:color w:val="000000"/>
                <w:sz w:val="20"/>
                <w:szCs w:val="20"/>
              </w:rPr>
            </w:pPr>
            <w:r w:rsidRPr="002363EA">
              <w:rPr>
                <w:rFonts w:ascii="Times New Roman" w:hAnsi="Times New Roman" w:cs="Times New Roman"/>
                <w:color w:val="000000"/>
                <w:sz w:val="20"/>
                <w:szCs w:val="20"/>
              </w:rPr>
              <w:t>De conformidad con el artículo 3 del Real Decreto Legislativo 7/2015, de 30 de octubre, por el que se aprueba el texto refundido de la Ley de Suelo y Rehabilitación Urbana, en virtud del</w:t>
            </w:r>
            <w:r w:rsidRPr="002363EA">
              <w:rPr>
                <w:rFonts w:ascii="Times New Roman" w:hAnsi="Times New Roman" w:cs="Times New Roman"/>
                <w:b/>
                <w:color w:val="000000"/>
                <w:sz w:val="20"/>
                <w:szCs w:val="20"/>
              </w:rPr>
              <w:t xml:space="preserve"> principio de desarrollo sostenible</w:t>
            </w:r>
            <w:r w:rsidRPr="002363EA">
              <w:rPr>
                <w:rFonts w:ascii="Times New Roman" w:hAnsi="Times New Roman" w:cs="Times New Roman"/>
                <w:color w:val="000000"/>
                <w:sz w:val="20"/>
                <w:szCs w:val="20"/>
              </w:rPr>
              <w:t>, las políticas públicas relativas a la regulación, ordenación, ocupación, transformación y uso del suelo deben propiciar el uso racional de los recursos naturales armonizando los requerimientos de la economía, el empleo, la cohesión social, la igualdad de trato y de oportunidades, la salud y la seguridad de las personas y la protección del medio ambiente, contribuyendo en particular a:</w:t>
            </w: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a) La eficacia de las medidas de conservación y mejora de la naturaleza, la flora y la fauna y de la protección del patrimonio cultural y del paisaje.</w:t>
            </w: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b) La protección, adecuada a su carácter, del medio rural y la preservación de los valores del suelo innecesario o inidóneo para atender las necesidades de transformación urbanística.</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normal0"/>
              <w:rPr>
                <w:rFonts w:ascii="Times New Roman" w:hAnsi="Times New Roman" w:cs="Times New Roman"/>
                <w:b/>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 xml:space="preserve">La Ley de Suelo obliga a preservar de la urbanización el suelo rural </w:t>
            </w:r>
            <w:r w:rsidRPr="002363EA">
              <w:rPr>
                <w:rFonts w:ascii="Times New Roman" w:hAnsi="Times New Roman" w:cs="Times New Roman"/>
                <w:color w:val="000000"/>
                <w:sz w:val="20"/>
                <w:szCs w:val="20"/>
              </w:rPr>
              <w:t>que no sea preciso para satisfacer necesidades de uso residencial o industrial, y establece el principio de desarrollo territorial y urbano sostenible. Aunque pongamos en duda la validez de este principio, pues “desarrollo” viene siendo en la práctica un término opuesto al de “sostenibilidad ambiental”, es preciso utilizar las herramientas que nos ofrece este principio incorporado en la Ley de Suelo. No olvidemos que esta ley establece las bases medioambientales del régimen jurídico del suelo y, por lo tanto, el marco general para la defensa del suelo rústico, complementado por lo que disponen otras leyes como la de aguas, espacios naturales, residuos, etc., comúnmente reconocidas como leyes ambientales sectoriales.</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 xml:space="preserve">La ley despliega este </w:t>
            </w:r>
            <w:r w:rsidRPr="002363EA">
              <w:rPr>
                <w:rFonts w:ascii="Times New Roman" w:hAnsi="Times New Roman" w:cs="Times New Roman"/>
                <w:b/>
                <w:color w:val="000000"/>
                <w:sz w:val="20"/>
                <w:szCs w:val="20"/>
              </w:rPr>
              <w:t>principio de sostenibilidad ambiental del suelo (artículo 3)</w:t>
            </w:r>
            <w:r w:rsidRPr="002363EA">
              <w:rPr>
                <w:rFonts w:ascii="Times New Roman" w:hAnsi="Times New Roman" w:cs="Times New Roman"/>
                <w:color w:val="000000"/>
                <w:sz w:val="20"/>
                <w:szCs w:val="20"/>
              </w:rPr>
              <w:t xml:space="preserve"> y exige que las políticas de uso del suelo tengan su causa en el interés general, propicien su uso racional, la protección de la naturaleza y la preservación de los valores del suelo innecesario o “inidóneo” para las necesidades del desarrollo urbanístico.</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Por ello, aunque la Constitución reconoce la propiedad privada del territorio, incluso de las montañas, la Ley de Suelo limita el derecho de los propietarios quienes deben dedicar los terrenos rústicos al uso agrícola, ganadero u otros usos vinculados a la utilización racional de los recursos naturales (artículo 13.1).</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 xml:space="preserve">8.- </w:t>
            </w:r>
            <w:r w:rsidRPr="002363EA">
              <w:rPr>
                <w:rFonts w:ascii="Times New Roman" w:hAnsi="Times New Roman" w:cs="Times New Roman"/>
                <w:color w:val="000000"/>
                <w:sz w:val="20"/>
                <w:szCs w:val="20"/>
              </w:rPr>
              <w:t>** Actualmente se utilizan o se prueban diferentes métodos mecánicos, térmicos o químicos de</w:t>
            </w:r>
            <w:r w:rsidRPr="002363EA">
              <w:rPr>
                <w:rFonts w:ascii="Times New Roman" w:hAnsi="Times New Roman" w:cs="Times New Roman"/>
                <w:b/>
                <w:color w:val="000000"/>
                <w:sz w:val="20"/>
                <w:szCs w:val="20"/>
              </w:rPr>
              <w:t xml:space="preserve"> reciclaje de paneles solares.</w:t>
            </w:r>
            <w:r w:rsidRPr="002363EA">
              <w:rPr>
                <w:rFonts w:ascii="Times New Roman" w:hAnsi="Times New Roman" w:cs="Times New Roman"/>
                <w:color w:val="000000"/>
                <w:sz w:val="20"/>
                <w:szCs w:val="20"/>
              </w:rPr>
              <w:t xml:space="preserve"> Las más comunes se basan en tratamientos mecánicos (corte, trituración y tamizado) y ya están desplegadas a escala industrial. VEOLIA ha invertido en su planta de Rousset, en el sur de Francia, para tratar específicamente los paneles fotovoltaicos con uno de estos procesos. Esta primera planta en Francia y Europa tiene una capacidad de procesamiento de hasta 4.000 toneladas/año, con una tasa de recuperación cercana al 95%. Otros fabricantes se dedican específicamente a la recuperación de vidrio y a su reciclado en los canales apropiados, como por ejemplo Maltha en Bélgica.</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r w:rsidRPr="002363EA">
              <w:rPr>
                <w:rFonts w:ascii="Times New Roman" w:hAnsi="Times New Roman" w:cs="Times New Roman"/>
                <w:sz w:val="20"/>
                <w:szCs w:val="20"/>
              </w:rPr>
              <w:t xml:space="preserve">Todas estas soluciones cumplen los requisitos de la directiva europea, pero </w:t>
            </w:r>
            <w:r w:rsidRPr="002363EA">
              <w:rPr>
                <w:rFonts w:ascii="Times New Roman" w:hAnsi="Times New Roman" w:cs="Times New Roman"/>
                <w:b/>
                <w:sz w:val="20"/>
                <w:szCs w:val="20"/>
              </w:rPr>
              <w:t>siguen siendo las llamadas soluciones de “downcycling</w:t>
            </w:r>
            <w:r w:rsidRPr="002363EA">
              <w:rPr>
                <w:rFonts w:ascii="Times New Roman" w:hAnsi="Times New Roman" w:cs="Times New Roman"/>
                <w:sz w:val="20"/>
                <w:szCs w:val="20"/>
              </w:rPr>
              <w:t>”, en las que las fracciones de materiales recuperados son de baja pureza y, por tanto, de escaso valor, o pueden recuperarse en zonas de bajo valor añadido.</w:t>
            </w: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5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a)</w:t>
            </w:r>
          </w:p>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b/>
                <w:color w:val="000000"/>
                <w:sz w:val="20"/>
                <w:szCs w:val="20"/>
              </w:rPr>
              <w:t>9.-</w:t>
            </w:r>
            <w:r w:rsidRPr="002363EA">
              <w:rPr>
                <w:rFonts w:ascii="Times New Roman" w:hAnsi="Times New Roman" w:cs="Times New Roman"/>
                <w:color w:val="000000"/>
                <w:sz w:val="20"/>
                <w:szCs w:val="20"/>
              </w:rPr>
              <w:t xml:space="preserve"> Se establece la Evaluación ambiental Simplificada para </w:t>
            </w:r>
            <w:r w:rsidRPr="002363EA">
              <w:rPr>
                <w:rFonts w:ascii="Times New Roman" w:hAnsi="Times New Roman" w:cs="Times New Roman"/>
                <w:b/>
                <w:color w:val="000000"/>
                <w:sz w:val="20"/>
                <w:szCs w:val="20"/>
              </w:rPr>
              <w:t>Hornos de Coque.</w:t>
            </w:r>
          </w:p>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p w:rsidR="00F73CE3" w:rsidRPr="002363EA" w:rsidRDefault="00F73CE3" w:rsidP="002363EA">
            <w:pPr>
              <w:pStyle w:val="normal0"/>
              <w:rPr>
                <w:rFonts w:ascii="Times New Roman" w:hAnsi="Times New Roman" w:cs="Times New Roman"/>
                <w:color w:val="000000"/>
                <w:sz w:val="20"/>
                <w:szCs w:val="20"/>
              </w:rPr>
            </w:pPr>
            <w:r w:rsidRPr="002363EA">
              <w:rPr>
                <w:rFonts w:ascii="Times New Roman" w:hAnsi="Times New Roman" w:cs="Times New Roman"/>
                <w:color w:val="000000"/>
                <w:sz w:val="20"/>
                <w:szCs w:val="20"/>
              </w:rPr>
              <w:t xml:space="preserve">Debe mantenerse la actual </w:t>
            </w:r>
            <w:r w:rsidRPr="002363EA">
              <w:rPr>
                <w:rFonts w:ascii="Times New Roman" w:hAnsi="Times New Roman" w:cs="Times New Roman"/>
                <w:b/>
                <w:color w:val="000000"/>
                <w:sz w:val="20"/>
                <w:szCs w:val="20"/>
              </w:rPr>
              <w:t>Evaluación Ambiental Ordinaria</w:t>
            </w:r>
            <w:r w:rsidRPr="002363EA">
              <w:rPr>
                <w:rFonts w:ascii="Times New Roman" w:hAnsi="Times New Roman" w:cs="Times New Roman"/>
                <w:color w:val="000000"/>
                <w:sz w:val="20"/>
                <w:szCs w:val="20"/>
              </w:rPr>
              <w:t xml:space="preserve"> para Hornos de Coque.</w:t>
            </w: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pPr>
              <w:pStyle w:val="normal0"/>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3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i)</w:t>
            </w:r>
          </w:p>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p>
          <w:p w:rsidR="00F73CE3" w:rsidRPr="002363EA" w:rsidRDefault="00F73CE3">
            <w:pPr>
              <w:pStyle w:val="normal0"/>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spacing w:line="288" w:lineRule="auto"/>
              <w:rPr>
                <w:rFonts w:ascii="Times New Roman" w:hAnsi="Times New Roman" w:cs="Times New Roman"/>
                <w:b/>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b/>
                <w:color w:val="000000"/>
                <w:sz w:val="20"/>
                <w:szCs w:val="20"/>
              </w:rPr>
              <w:t>10.- El umbral de 10 aerogeneradores o 30 MW propuesto es arbitrari</w:t>
            </w:r>
            <w:r w:rsidRPr="002363EA">
              <w:rPr>
                <w:rFonts w:ascii="Times New Roman" w:hAnsi="Times New Roman" w:cs="Times New Roman"/>
                <w:color w:val="000000"/>
                <w:sz w:val="20"/>
                <w:szCs w:val="20"/>
              </w:rPr>
              <w:t>o y no garantiza que proyectos altamente impactantes sobre el medio ambiente se sometan a un proceso de evaluación ambiental ordinaria. Todos los parques eólicos industriales en suelo no urbanizable (fuera del suelo industrial) conllevan un impacto potencial severo sobre el medio ambiente, no solo por los aerogeneradores sino por todas las infraestructuras asociadas (red eléctrica, subestaciones, pistas de acceso, canalizaciones). Dejar fuera de la evaluación ambiental ordinaria y, por tanto, eximir al promotor de la realización del correspondiente Estudio de Impacto Ambiental, no garantiza que los proyectos sean compatibles con la conservación del medio ambiente.</w:t>
            </w:r>
          </w:p>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Heading3"/>
              <w:spacing w:before="40" w:after="0" w:line="288" w:lineRule="auto"/>
              <w:rPr>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Texto actual</w:t>
            </w:r>
          </w:p>
          <w:p w:rsidR="00F73CE3" w:rsidRPr="002363EA" w:rsidRDefault="00F73CE3" w:rsidP="002363EA">
            <w:pPr>
              <w:pStyle w:val="Heading3"/>
              <w:spacing w:before="40" w:after="0" w:line="288" w:lineRule="auto"/>
              <w:rPr>
                <w:sz w:val="20"/>
                <w:szCs w:val="20"/>
              </w:rPr>
            </w:pPr>
            <w:r w:rsidRPr="002363EA">
              <w:rPr>
                <w:b w:val="0"/>
                <w:color w:val="000000"/>
                <w:sz w:val="20"/>
                <w:szCs w:val="20"/>
              </w:rPr>
              <w:t>Instalaciones para la utilización de la fuerza del viento para la producción de energía (parques eólicos) que tengan 10 o más aerogeneradores, o que tengan más de 30 MW o que se encuentren a menos de 2 km de otro parque eólico en funcionamiento, en construcción, con autorización administrativa o con declaración de impacto ambiental.</w:t>
            </w:r>
          </w:p>
          <w:p w:rsidR="00F73CE3" w:rsidRPr="002363EA" w:rsidRDefault="00F73CE3" w:rsidP="002363EA">
            <w:pPr>
              <w:pStyle w:val="normal0"/>
              <w:spacing w:before="40" w:line="288" w:lineRule="auto"/>
              <w:rPr>
                <w:rFonts w:ascii="Times New Roman" w:hAnsi="Times New Roman" w:cs="Times New Roman"/>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Enmienda de modificación</w:t>
            </w:r>
          </w:p>
          <w:p w:rsidR="00F73CE3" w:rsidRPr="002363EA" w:rsidRDefault="00F73CE3" w:rsidP="002363EA">
            <w:pPr>
              <w:pStyle w:val="Heading3"/>
              <w:spacing w:before="40" w:after="0" w:line="288" w:lineRule="auto"/>
              <w:rPr>
                <w:b w:val="0"/>
                <w:color w:val="000000"/>
                <w:sz w:val="20"/>
                <w:szCs w:val="20"/>
              </w:rPr>
            </w:pPr>
            <w:r w:rsidRPr="002363EA">
              <w:rPr>
                <w:b w:val="0"/>
                <w:color w:val="000000"/>
                <w:sz w:val="20"/>
                <w:szCs w:val="20"/>
              </w:rPr>
              <w:t>Instalaciones para la utilización de la fuerza del viento para la producción de energía (parques eólicos) salvo los destinados al autoconsumo.</w:t>
            </w:r>
          </w:p>
          <w:p w:rsidR="00F73CE3" w:rsidRPr="002363EA" w:rsidRDefault="00F73CE3" w:rsidP="002363EA">
            <w:pPr>
              <w:pStyle w:val="normal0"/>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3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g)</w:t>
            </w:r>
          </w:p>
        </w:tc>
        <w:tc>
          <w:tcPr>
            <w:tcW w:w="3921" w:type="dxa"/>
            <w:shd w:val="clear" w:color="auto" w:fill="FFFFCC"/>
          </w:tcPr>
          <w:p w:rsidR="00F73CE3" w:rsidRPr="002363EA" w:rsidRDefault="00F73CE3" w:rsidP="002363EA">
            <w:pPr>
              <w:pStyle w:val="normal0"/>
              <w:spacing w:line="288" w:lineRule="auto"/>
              <w:rPr>
                <w:rFonts w:ascii="Times New Roman" w:hAnsi="Times New Roman" w:cs="Times New Roman"/>
                <w:b/>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b/>
                <w:color w:val="000000"/>
                <w:sz w:val="20"/>
                <w:szCs w:val="20"/>
              </w:rPr>
              <w:t>11.- El umbral de 15 km es arbitrario</w:t>
            </w:r>
            <w:r w:rsidRPr="002363EA">
              <w:rPr>
                <w:rFonts w:ascii="Times New Roman" w:hAnsi="Times New Roman" w:cs="Times New Roman"/>
                <w:color w:val="000000"/>
                <w:sz w:val="20"/>
                <w:szCs w:val="20"/>
              </w:rPr>
              <w:t xml:space="preserve"> y no permite garantizar que líneas eléctricas potencialmente impactantes tengan una correcta evaluación ambiental de sus posibles efectos. Las líneas eléctricas de longitud inferior a 15 km pueden suponer impactos severos sobre poblaciones de aves planeadoras residentes e incluso hacer desaparecer territorios completos ya que estos tienen un diámetro normalmente inferior a 15 km. También pueden conllevar impactos severos cuando se sitúan en corredores (zonas de paso) de aves planeadoras, provocando gran mortandad de aves</w:t>
            </w:r>
          </w:p>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Heading3"/>
              <w:spacing w:before="40" w:after="0" w:line="288" w:lineRule="auto"/>
              <w:rPr>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Texto actual</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Construcción de líneas de transmisión de energía eléctrica con un voltaje igual o superior a 220 kV y una longitud superior a 15 km, salvo que discurran íntegramente en subterráneo por suelo urbanizado, así como sus subestaciones asociadas.</w:t>
            </w:r>
          </w:p>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Enmienda de modificación</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Construcción de líneas de transmisión de energía eléctrica con un voltaje igual o superior a 220 kV, salvo que discurran íntegramente en subterráneo por suelo urbanizado, así como sus subestaciones asociadas.</w:t>
            </w:r>
          </w:p>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3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j)</w:t>
            </w: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spacing w:line="288" w:lineRule="auto"/>
              <w:rPr>
                <w:rFonts w:ascii="Times New Roman" w:hAnsi="Times New Roman" w:cs="Times New Roman"/>
                <w:b/>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b/>
                <w:color w:val="000000"/>
                <w:sz w:val="20"/>
                <w:szCs w:val="20"/>
              </w:rPr>
              <w:t>12.- El umbral de 100 ha de superficie es arbitrario y muy amplio.</w:t>
            </w:r>
            <w:r w:rsidRPr="002363EA">
              <w:rPr>
                <w:rFonts w:ascii="Times New Roman" w:hAnsi="Times New Roman" w:cs="Times New Roman"/>
                <w:color w:val="000000"/>
                <w:sz w:val="20"/>
                <w:szCs w:val="20"/>
              </w:rPr>
              <w:t xml:space="preserve"> Todas las instalaciones industriales destinadas a venta de energía a la red deberían llevar una evaluación de impacto ambiental ordinaria, ya que resulta la única garantía de que se evalúen correctamente sus efectos, no solo por sus dimensiones, sino por la sensibilidad ambiental del terreno que ocupan.</w:t>
            </w:r>
          </w:p>
        </w:tc>
        <w:tc>
          <w:tcPr>
            <w:tcW w:w="3345" w:type="dxa"/>
            <w:shd w:val="clear" w:color="auto" w:fill="FFFFCC"/>
          </w:tcPr>
          <w:p w:rsidR="00F73CE3" w:rsidRPr="002363EA" w:rsidRDefault="00F73CE3" w:rsidP="002363EA">
            <w:pPr>
              <w:pStyle w:val="Heading3"/>
              <w:spacing w:before="40" w:after="0" w:line="288" w:lineRule="auto"/>
              <w:rPr>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Texto actual</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Instalaciones para la producción de energía eléctrica a partir de la energía solar destinada a su venta a la red que ocupen más de 100 ha de superficie.</w:t>
            </w:r>
          </w:p>
          <w:p w:rsidR="00F73CE3" w:rsidRPr="002363EA" w:rsidRDefault="00F73CE3" w:rsidP="002363EA">
            <w:pPr>
              <w:pStyle w:val="normal0"/>
              <w:spacing w:after="120"/>
              <w:rPr>
                <w:rFonts w:ascii="Times New Roman" w:hAnsi="Times New Roman" w:cs="Times New Roman"/>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Enmienda de modificación</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Instalaciones para la producción de energía eléctrica a partir de la energía solar no destinada al autoconsumo.</w:t>
            </w:r>
          </w:p>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9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a - 10º)</w:t>
            </w: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b/>
                <w:color w:val="000000"/>
                <w:sz w:val="20"/>
                <w:szCs w:val="20"/>
              </w:rPr>
              <w:t>13.-</w:t>
            </w:r>
            <w:r w:rsidRPr="002363EA">
              <w:rPr>
                <w:rFonts w:ascii="Times New Roman" w:hAnsi="Times New Roman" w:cs="Times New Roman"/>
                <w:color w:val="000000"/>
                <w:sz w:val="20"/>
                <w:szCs w:val="20"/>
              </w:rPr>
              <w:t xml:space="preserve"> En los espacios protegidos a los que se refiere el punto a), las líneas para transmisión de energía eléctrica deberían llevar </w:t>
            </w:r>
            <w:r w:rsidRPr="002363EA">
              <w:rPr>
                <w:rFonts w:ascii="Times New Roman" w:hAnsi="Times New Roman" w:cs="Times New Roman"/>
                <w:b/>
                <w:color w:val="000000"/>
                <w:sz w:val="20"/>
                <w:szCs w:val="20"/>
              </w:rPr>
              <w:t>evaluación ambiental ordinaria</w:t>
            </w:r>
            <w:r w:rsidRPr="002363EA">
              <w:rPr>
                <w:rFonts w:ascii="Times New Roman" w:hAnsi="Times New Roman" w:cs="Times New Roman"/>
                <w:color w:val="000000"/>
                <w:sz w:val="20"/>
                <w:szCs w:val="20"/>
              </w:rPr>
              <w:t xml:space="preserve"> debido a situarse en zonas altamente sensibles, </w:t>
            </w:r>
            <w:r w:rsidRPr="002363EA">
              <w:rPr>
                <w:rFonts w:ascii="Times New Roman" w:hAnsi="Times New Roman" w:cs="Times New Roman"/>
                <w:b/>
                <w:color w:val="000000"/>
                <w:sz w:val="20"/>
                <w:szCs w:val="20"/>
              </w:rPr>
              <w:t>independientemente de la longitud</w:t>
            </w:r>
            <w:r w:rsidRPr="002363EA">
              <w:rPr>
                <w:rFonts w:ascii="Times New Roman" w:hAnsi="Times New Roman" w:cs="Times New Roman"/>
                <w:color w:val="000000"/>
                <w:sz w:val="20"/>
                <w:szCs w:val="20"/>
              </w:rPr>
              <w:t xml:space="preserve"> de su trazado</w:t>
            </w:r>
          </w:p>
        </w:tc>
        <w:tc>
          <w:tcPr>
            <w:tcW w:w="3345" w:type="dxa"/>
            <w:shd w:val="clear" w:color="auto" w:fill="FFFFCC"/>
          </w:tcPr>
          <w:p w:rsidR="00F73CE3" w:rsidRPr="002363EA" w:rsidRDefault="00F73CE3" w:rsidP="002363EA">
            <w:pPr>
              <w:pStyle w:val="Heading3"/>
              <w:spacing w:before="40" w:after="0" w:line="288" w:lineRule="auto"/>
              <w:rPr>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Texto actual</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Líneas para la transmisión de energía eléctrica</w:t>
            </w:r>
            <w:r w:rsidRPr="002363EA">
              <w:rPr>
                <w:rFonts w:ascii="Times New Roman" w:hAnsi="Times New Roman" w:cs="Times New Roman"/>
                <w:b/>
                <w:color w:val="000000"/>
                <w:sz w:val="20"/>
                <w:szCs w:val="20"/>
              </w:rPr>
              <w:t xml:space="preserve"> cuyo trazado afecte a los espacios naturales</w:t>
            </w:r>
            <w:r w:rsidRPr="002363EA">
              <w:rPr>
                <w:rFonts w:ascii="Times New Roman" w:hAnsi="Times New Roman" w:cs="Times New Roman"/>
                <w:color w:val="000000"/>
                <w:sz w:val="20"/>
                <w:szCs w:val="20"/>
              </w:rPr>
              <w:t xml:space="preserve"> considerados en este artículo con una longitud superior a 3 km, excluidas las que atraviesen zonas urbanizadas.</w:t>
            </w:r>
          </w:p>
          <w:p w:rsidR="00F73CE3" w:rsidRPr="002363EA" w:rsidRDefault="00F73CE3" w:rsidP="002363EA">
            <w:pPr>
              <w:pStyle w:val="normal0"/>
              <w:spacing w:after="120"/>
              <w:rPr>
                <w:rFonts w:ascii="Times New Roman" w:hAnsi="Times New Roman" w:cs="Times New Roman"/>
                <w:color w:val="000000"/>
                <w:sz w:val="20"/>
                <w:szCs w:val="20"/>
              </w:rPr>
            </w:pP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Enmienda de modificación</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Líneas para la transmisión de energía eléctrica cuyo trazado afecte a los espacios naturales considerados en este artículo, excluidas las que atraviesen zonas urbanizadas.</w:t>
            </w:r>
          </w:p>
          <w:p w:rsidR="00F73CE3" w:rsidRPr="002363EA" w:rsidRDefault="00F73CE3" w:rsidP="002363EA">
            <w:pPr>
              <w:pStyle w:val="normal0"/>
              <w:spacing w:line="288" w:lineRule="auto"/>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Anexo I</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 xml:space="preserve">Grupo 9 </w:t>
            </w:r>
          </w:p>
          <w:p w:rsidR="00F73CE3" w:rsidRPr="002363EA" w:rsidRDefault="00F73CE3" w:rsidP="002363EA">
            <w:pPr>
              <w:pStyle w:val="normal0"/>
              <w:jc w:val="center"/>
              <w:rPr>
                <w:rFonts w:ascii="Times New Roman" w:hAnsi="Times New Roman" w:cs="Times New Roman"/>
                <w:sz w:val="20"/>
                <w:szCs w:val="20"/>
              </w:rPr>
            </w:pPr>
            <w:r w:rsidRPr="002363EA">
              <w:rPr>
                <w:rFonts w:ascii="Times New Roman" w:hAnsi="Times New Roman" w:cs="Times New Roman"/>
                <w:sz w:val="20"/>
                <w:szCs w:val="20"/>
              </w:rPr>
              <w:t>Letra a – 14º)</w:t>
            </w:r>
          </w:p>
          <w:p w:rsidR="00F73CE3" w:rsidRPr="002363EA" w:rsidRDefault="00F73CE3" w:rsidP="002363EA">
            <w:pPr>
              <w:pStyle w:val="normal0"/>
              <w:jc w:val="center"/>
              <w:rPr>
                <w:rFonts w:ascii="Times New Roman" w:hAnsi="Times New Roman" w:cs="Times New Roman"/>
                <w:sz w:val="20"/>
                <w:szCs w:val="20"/>
              </w:rPr>
            </w:pPr>
          </w:p>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spacing w:line="288" w:lineRule="auto"/>
              <w:rPr>
                <w:rFonts w:ascii="Times New Roman" w:hAnsi="Times New Roman" w:cs="Times New Roman"/>
                <w:b/>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b/>
                <w:color w:val="000000"/>
                <w:sz w:val="20"/>
                <w:szCs w:val="20"/>
              </w:rPr>
              <w:t>14.- Las pistas de esquí y construcciones asociadas</w:t>
            </w:r>
            <w:r w:rsidRPr="002363EA">
              <w:rPr>
                <w:rFonts w:ascii="Times New Roman" w:hAnsi="Times New Roman" w:cs="Times New Roman"/>
                <w:color w:val="000000"/>
                <w:sz w:val="20"/>
                <w:szCs w:val="20"/>
              </w:rPr>
              <w:t xml:space="preserve"> han demostrado tener un enorme impacto sobre el suelo, los recursos hídricos, el microclima y la biodiversidad del entorno en el que se construyen, por lo que siempre deberían tener una evaluación de impacto ambiental ordinaria.</w:t>
            </w:r>
          </w:p>
        </w:tc>
        <w:tc>
          <w:tcPr>
            <w:tcW w:w="3345" w:type="dxa"/>
            <w:shd w:val="clear" w:color="auto" w:fill="FFFFCC"/>
          </w:tcPr>
          <w:p w:rsidR="00F73CE3" w:rsidRPr="002363EA" w:rsidRDefault="00F73CE3" w:rsidP="002363EA">
            <w:pPr>
              <w:pStyle w:val="normal0"/>
              <w:spacing w:line="288" w:lineRule="auto"/>
              <w:rPr>
                <w:rFonts w:ascii="Times New Roman" w:hAnsi="Times New Roman" w:cs="Times New Roman"/>
                <w:b/>
                <w:color w:val="000000"/>
                <w:sz w:val="20"/>
                <w:szCs w:val="20"/>
              </w:rPr>
            </w:pPr>
          </w:p>
          <w:p w:rsidR="00F73CE3" w:rsidRPr="002363EA" w:rsidRDefault="00F73CE3" w:rsidP="002363EA">
            <w:pPr>
              <w:pStyle w:val="normal0"/>
              <w:spacing w:line="288" w:lineRule="auto"/>
              <w:rPr>
                <w:rFonts w:ascii="Times New Roman" w:hAnsi="Times New Roman" w:cs="Times New Roman"/>
                <w:b/>
                <w:color w:val="000000"/>
                <w:sz w:val="20"/>
                <w:szCs w:val="20"/>
              </w:rPr>
            </w:pPr>
            <w:r w:rsidRPr="002363EA">
              <w:rPr>
                <w:rFonts w:ascii="Times New Roman" w:hAnsi="Times New Roman" w:cs="Times New Roman"/>
                <w:b/>
                <w:color w:val="000000"/>
                <w:sz w:val="20"/>
                <w:szCs w:val="20"/>
              </w:rPr>
              <w:t>Texto actual:</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En el proyecto de Real Decreto, las pistas de esquí, remontes y teleféricos y construcciones asociadas solamente requieren evaluación de impacto ambiental ordinaria cuando se sitúan en los espacios referidos en el punto A.</w:t>
            </w:r>
          </w:p>
          <w:p w:rsidR="00F73CE3" w:rsidRPr="002363EA" w:rsidRDefault="00F73CE3" w:rsidP="002363EA">
            <w:pPr>
              <w:pStyle w:val="Heading3"/>
              <w:spacing w:before="40" w:after="0" w:line="288" w:lineRule="auto"/>
              <w:rPr>
                <w:color w:val="000000"/>
                <w:sz w:val="20"/>
                <w:szCs w:val="20"/>
              </w:rPr>
            </w:pPr>
            <w:r w:rsidRPr="002363EA">
              <w:rPr>
                <w:color w:val="000000"/>
                <w:sz w:val="20"/>
                <w:szCs w:val="20"/>
              </w:rPr>
              <w:t>Enmienda de modificación</w:t>
            </w:r>
          </w:p>
          <w:p w:rsidR="00F73CE3" w:rsidRPr="002363EA" w:rsidRDefault="00F73CE3" w:rsidP="002363EA">
            <w:pPr>
              <w:pStyle w:val="normal0"/>
              <w:spacing w:line="288" w:lineRule="auto"/>
              <w:rPr>
                <w:rFonts w:ascii="Times New Roman" w:hAnsi="Times New Roman" w:cs="Times New Roman"/>
                <w:color w:val="000000"/>
                <w:sz w:val="20"/>
                <w:szCs w:val="20"/>
              </w:rPr>
            </w:pPr>
            <w:r w:rsidRPr="002363EA">
              <w:rPr>
                <w:rFonts w:ascii="Times New Roman" w:hAnsi="Times New Roman" w:cs="Times New Roman"/>
                <w:color w:val="000000"/>
                <w:sz w:val="20"/>
                <w:szCs w:val="20"/>
              </w:rPr>
              <w:t xml:space="preserve">Incluir las pistas de esquí, remontes y teleféricos y construcciones asociadas a un nuevo punto (punto E dentro del Grupo 9) para que estos proyectos deban someterse a </w:t>
            </w:r>
            <w:r w:rsidRPr="002363EA">
              <w:rPr>
                <w:rFonts w:ascii="Times New Roman" w:hAnsi="Times New Roman" w:cs="Times New Roman"/>
                <w:b/>
                <w:color w:val="000000"/>
                <w:sz w:val="20"/>
                <w:szCs w:val="20"/>
              </w:rPr>
              <w:t>evaluación ambiental ordinaria independientemente de dónde se ubiquen</w:t>
            </w:r>
            <w:r w:rsidRPr="002363EA">
              <w:rPr>
                <w:rFonts w:ascii="Times New Roman" w:hAnsi="Times New Roman" w:cs="Times New Roman"/>
                <w:color w:val="000000"/>
                <w:sz w:val="20"/>
                <w:szCs w:val="20"/>
              </w:rPr>
              <w:t xml:space="preserve"> respecto a los puntos referidos en el punto A.</w:t>
            </w:r>
          </w:p>
          <w:p w:rsidR="00F73CE3" w:rsidRPr="002363EA" w:rsidRDefault="00F73CE3" w:rsidP="002363EA">
            <w:pPr>
              <w:pStyle w:val="normal0"/>
              <w:spacing w:line="288" w:lineRule="auto"/>
              <w:rPr>
                <w:rFonts w:ascii="Times New Roman" w:hAnsi="Times New Roman" w:cs="Times New Roman"/>
                <w:color w:val="000000"/>
                <w:sz w:val="20"/>
                <w:szCs w:val="20"/>
              </w:rPr>
            </w:pPr>
          </w:p>
          <w:p w:rsidR="00F73CE3" w:rsidRPr="002363EA" w:rsidRDefault="00F73CE3" w:rsidP="002363EA">
            <w:pPr>
              <w:pStyle w:val="normal0"/>
              <w:spacing w:line="288" w:lineRule="auto"/>
              <w:rPr>
                <w:rFonts w:ascii="Times New Roman" w:hAnsi="Times New Roman" w:cs="Times New Roman"/>
                <w:color w:val="000000"/>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r w:rsidR="00F73CE3" w:rsidTr="002363EA">
        <w:trPr>
          <w:jc w:val="center"/>
        </w:trPr>
        <w:tc>
          <w:tcPr>
            <w:tcW w:w="2247"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1682"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3921" w:type="dxa"/>
            <w:shd w:val="clear" w:color="auto" w:fill="FFFFCC"/>
          </w:tcPr>
          <w:p w:rsidR="00F73CE3" w:rsidRPr="002363EA" w:rsidRDefault="00F73CE3" w:rsidP="002363EA">
            <w:pPr>
              <w:pStyle w:val="normal0"/>
              <w:rPr>
                <w:rFonts w:ascii="Times New Roman" w:hAnsi="Times New Roman" w:cs="Times New Roman"/>
                <w:color w:val="000000"/>
                <w:sz w:val="20"/>
                <w:szCs w:val="20"/>
              </w:rPr>
            </w:pPr>
          </w:p>
        </w:tc>
        <w:tc>
          <w:tcPr>
            <w:tcW w:w="3345" w:type="dxa"/>
            <w:shd w:val="clear" w:color="auto" w:fill="FFFFCC"/>
          </w:tcPr>
          <w:p w:rsidR="00F73CE3" w:rsidRPr="002363EA" w:rsidRDefault="00F73CE3" w:rsidP="002363EA">
            <w:pPr>
              <w:pStyle w:val="normal0"/>
              <w:jc w:val="center"/>
              <w:rPr>
                <w:rFonts w:ascii="Times New Roman" w:hAnsi="Times New Roman" w:cs="Times New Roman"/>
                <w:sz w:val="20"/>
                <w:szCs w:val="20"/>
              </w:rPr>
            </w:pPr>
          </w:p>
        </w:tc>
        <w:tc>
          <w:tcPr>
            <w:tcW w:w="2799" w:type="dxa"/>
            <w:shd w:val="clear" w:color="auto" w:fill="D9E2F3"/>
          </w:tcPr>
          <w:p w:rsidR="00F73CE3" w:rsidRPr="002363EA" w:rsidRDefault="00F73CE3" w:rsidP="002363EA">
            <w:pPr>
              <w:pStyle w:val="normal0"/>
              <w:jc w:val="center"/>
              <w:rPr>
                <w:rFonts w:ascii="Times New Roman" w:hAnsi="Times New Roman" w:cs="Times New Roman"/>
                <w:sz w:val="20"/>
                <w:szCs w:val="20"/>
              </w:rPr>
            </w:pPr>
          </w:p>
        </w:tc>
      </w:tr>
    </w:tbl>
    <w:p w:rsidR="00F73CE3" w:rsidRDefault="00F73CE3">
      <w:pPr>
        <w:pStyle w:val="normal0"/>
        <w:rPr>
          <w:rFonts w:ascii="Times New Roman" w:hAnsi="Times New Roman" w:cs="Times New Roman"/>
          <w:sz w:val="20"/>
          <w:szCs w:val="20"/>
        </w:rPr>
      </w:pPr>
      <w:r>
        <w:rPr>
          <w:rFonts w:ascii="Times New Roman" w:hAnsi="Times New Roman" w:cs="Times New Roman"/>
          <w:sz w:val="20"/>
          <w:szCs w:val="20"/>
        </w:rPr>
        <w:t xml:space="preserve"> (*) Como máximo 1500 caracteres.</w:t>
      </w:r>
    </w:p>
    <w:p w:rsidR="00F73CE3" w:rsidRDefault="00F73CE3">
      <w:pPr>
        <w:pStyle w:val="normal0"/>
        <w:rPr>
          <w:rFonts w:ascii="Times New Roman" w:hAnsi="Times New Roman" w:cs="Times New Roman"/>
          <w:sz w:val="20"/>
          <w:szCs w:val="20"/>
        </w:rPr>
      </w:pPr>
    </w:p>
    <w:p w:rsidR="00F73CE3" w:rsidRDefault="00F73CE3">
      <w:pPr>
        <w:pStyle w:val="normal0"/>
        <w:rPr>
          <w:rFonts w:ascii="Times New Roman" w:hAnsi="Times New Roman" w:cs="Times New Roman"/>
          <w:sz w:val="20"/>
          <w:szCs w:val="20"/>
        </w:rPr>
      </w:pPr>
      <w:r>
        <w:rPr>
          <w:rFonts w:ascii="Times New Roman" w:hAnsi="Times New Roman" w:cs="Times New Roman"/>
          <w:sz w:val="20"/>
          <w:szCs w:val="20"/>
        </w:rPr>
        <w:t>Fecha: 3 de noviembre de 2021</w:t>
      </w:r>
    </w:p>
    <w:p w:rsidR="00F73CE3" w:rsidRDefault="00F73CE3">
      <w:pPr>
        <w:pStyle w:val="normal0"/>
        <w:rPr>
          <w:rFonts w:ascii="Times New Roman" w:hAnsi="Times New Roman" w:cs="Times New Roman"/>
          <w:sz w:val="20"/>
          <w:szCs w:val="20"/>
        </w:rPr>
      </w:pPr>
      <w:r>
        <w:rPr>
          <w:rFonts w:ascii="Times New Roman" w:hAnsi="Times New Roman" w:cs="Times New Roman"/>
          <w:sz w:val="20"/>
          <w:szCs w:val="20"/>
        </w:rPr>
        <w:t>Lugar: Madrid</w:t>
      </w:r>
    </w:p>
    <w:p w:rsidR="00F73CE3" w:rsidRDefault="00F73CE3">
      <w:pPr>
        <w:pStyle w:val="normal0"/>
        <w:rPr>
          <w:rFonts w:ascii="Times New Roman" w:hAnsi="Times New Roman" w:cs="Times New Roman"/>
          <w:sz w:val="20"/>
          <w:szCs w:val="20"/>
        </w:rPr>
      </w:pPr>
    </w:p>
    <w:sectPr w:rsidR="00F73CE3" w:rsidSect="00115132">
      <w:pgSz w:w="16838" w:h="11906" w:orient="landscape"/>
      <w:pgMar w:top="1701" w:right="1417" w:bottom="1701" w:left="1417" w:header="0" w:footer="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132"/>
    <w:rsid w:val="00115132"/>
    <w:rsid w:val="00116138"/>
    <w:rsid w:val="002363EA"/>
    <w:rsid w:val="00647D44"/>
    <w:rsid w:val="00F73C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0"/>
    <w:next w:val="normal0"/>
    <w:link w:val="Heading1Char"/>
    <w:uiPriority w:val="99"/>
    <w:qFormat/>
    <w:rsid w:val="00115132"/>
    <w:pPr>
      <w:keepNext/>
      <w:spacing w:before="240" w:after="120"/>
      <w:outlineLvl w:val="0"/>
    </w:pPr>
    <w:rPr>
      <w:rFonts w:ascii="Times New Roman" w:eastAsia="Times New Roman" w:hAnsi="Times New Roman" w:cs="Times New Roman"/>
      <w:b/>
      <w:sz w:val="48"/>
      <w:szCs w:val="48"/>
    </w:rPr>
  </w:style>
  <w:style w:type="paragraph" w:styleId="Heading2">
    <w:name w:val="heading 2"/>
    <w:basedOn w:val="normal0"/>
    <w:next w:val="normal0"/>
    <w:link w:val="Heading2Char"/>
    <w:uiPriority w:val="99"/>
    <w:qFormat/>
    <w:rsid w:val="0011513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115132"/>
    <w:pPr>
      <w:keepNext/>
      <w:spacing w:before="240" w:after="120"/>
      <w:outlineLvl w:val="2"/>
    </w:pPr>
    <w:rPr>
      <w:rFonts w:ascii="Times New Roman" w:eastAsia="Times New Roman" w:hAnsi="Times New Roman" w:cs="Times New Roman"/>
      <w:b/>
      <w:sz w:val="28"/>
      <w:szCs w:val="28"/>
    </w:rPr>
  </w:style>
  <w:style w:type="paragraph" w:styleId="Heading4">
    <w:name w:val="heading 4"/>
    <w:basedOn w:val="normal0"/>
    <w:next w:val="normal0"/>
    <w:link w:val="Heading4Char"/>
    <w:uiPriority w:val="99"/>
    <w:qFormat/>
    <w:rsid w:val="00115132"/>
    <w:pPr>
      <w:keepNext/>
      <w:keepLines/>
      <w:spacing w:before="240" w:after="40"/>
      <w:outlineLvl w:val="3"/>
    </w:pPr>
    <w:rPr>
      <w:b/>
    </w:rPr>
  </w:style>
  <w:style w:type="paragraph" w:styleId="Heading5">
    <w:name w:val="heading 5"/>
    <w:basedOn w:val="normal0"/>
    <w:next w:val="normal0"/>
    <w:link w:val="Heading5Char"/>
    <w:uiPriority w:val="99"/>
    <w:qFormat/>
    <w:rsid w:val="0011513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11513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0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507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50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507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507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7507E"/>
    <w:rPr>
      <w:rFonts w:asciiTheme="minorHAnsi" w:eastAsiaTheme="minorEastAsia" w:hAnsiTheme="minorHAnsi" w:cstheme="minorBidi"/>
      <w:b/>
      <w:bCs/>
    </w:rPr>
  </w:style>
  <w:style w:type="paragraph" w:customStyle="1" w:styleId="normal0">
    <w:name w:val="normal"/>
    <w:uiPriority w:val="99"/>
    <w:rsid w:val="00115132"/>
    <w:pPr>
      <w:jc w:val="both"/>
    </w:pPr>
    <w:rPr>
      <w:sz w:val="24"/>
      <w:szCs w:val="24"/>
    </w:rPr>
  </w:style>
  <w:style w:type="paragraph" w:styleId="Title">
    <w:name w:val="Title"/>
    <w:basedOn w:val="normal0"/>
    <w:next w:val="normal0"/>
    <w:link w:val="TitleChar"/>
    <w:uiPriority w:val="99"/>
    <w:qFormat/>
    <w:rsid w:val="00115132"/>
    <w:pPr>
      <w:keepNext/>
      <w:keepLines/>
      <w:spacing w:before="480" w:after="120"/>
    </w:pPr>
    <w:rPr>
      <w:b/>
      <w:sz w:val="72"/>
      <w:szCs w:val="72"/>
    </w:rPr>
  </w:style>
  <w:style w:type="character" w:customStyle="1" w:styleId="TitleChar">
    <w:name w:val="Title Char"/>
    <w:basedOn w:val="DefaultParagraphFont"/>
    <w:link w:val="Title"/>
    <w:uiPriority w:val="10"/>
    <w:rsid w:val="00C7507E"/>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11513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7507E"/>
    <w:rPr>
      <w:rFonts w:asciiTheme="majorHAnsi" w:eastAsiaTheme="majorEastAsia" w:hAnsiTheme="majorHAnsi" w:cstheme="majorBidi"/>
      <w:sz w:val="24"/>
      <w:szCs w:val="24"/>
    </w:rPr>
  </w:style>
  <w:style w:type="table" w:customStyle="1" w:styleId="Estilo">
    <w:name w:val="Estilo"/>
    <w:uiPriority w:val="99"/>
    <w:rsid w:val="00115132"/>
    <w:rPr>
      <w:sz w:val="20"/>
      <w:szCs w:val="20"/>
    </w:rPr>
    <w:tblPr>
      <w:tblStyleRowBandSize w:val="1"/>
      <w:tblStyleColBandSize w:val="1"/>
      <w:tblInd w:w="0" w:type="dxa"/>
      <w:tblCellMar>
        <w:top w:w="0" w:type="dxa"/>
        <w:left w:w="10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2007</Words>
  <Characters>11040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PÚBLICA SOBRE EL PROYECTO DE REAL DECRETO DE MODIFICACIÓN  DE ANEXOS I Y II DE LA LEY 21/2013, DE 9 DE DICIEMBRE, DE EVALUACION AMBIENTAL</dc:title>
  <dc:subject/>
  <dc:creator/>
  <cp:keywords/>
  <dc:description/>
  <cp:lastModifiedBy>Usuario</cp:lastModifiedBy>
  <cp:revision>2</cp:revision>
  <dcterms:created xsi:type="dcterms:W3CDTF">2021-11-03T14:53:00Z</dcterms:created>
  <dcterms:modified xsi:type="dcterms:W3CDTF">2021-11-03T14:53:00Z</dcterms:modified>
</cp:coreProperties>
</file>